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311965" cy="1304925"/>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4918" cy="1317808"/>
                          </a:xfrm>
                          <a:prstGeom prst="rect">
                            <a:avLst/>
                          </a:prstGeom>
                          <a:noFill/>
                        </pic:spPr>
                      </pic:pic>
                    </a:graphicData>
                  </a:graphic>
                </wp:inline>
              </w:drawing>
            </w:r>
          </w:p>
        </w:tc>
        <w:tc>
          <w:tcPr>
            <w:tcW w:w="3792" w:type="dxa"/>
            <w:shd w:val="clear" w:color="auto" w:fill="auto"/>
          </w:tcPr>
          <w:p>
            <w:pPr>
              <w:widowControl/>
              <w:jc w:val="center"/>
              <w:rPr>
                <w:rFonts w:ascii="Arial" w:hAnsi="Arial" w:cs="Arial"/>
                <w:b/>
                <w:bCs/>
                <w:sz w:val="24"/>
                <w:szCs w:val="24"/>
              </w:rPr>
            </w:pPr>
            <w:r>
              <w:rPr>
                <w:rFonts w:ascii="Arial" w:hAnsi="Arial" w:cs="Arial"/>
                <w:b/>
                <w:bCs/>
                <w:sz w:val="24"/>
                <w:szCs w:val="24"/>
              </w:rPr>
              <w:t>ACCORD-CADRE DE SERVICES SOCIAUX ET SPECIFIQUES</w:t>
            </w:r>
          </w:p>
          <w:p>
            <w:pPr>
              <w:widowControl/>
              <w:rPr>
                <w:rFonts w:ascii="Arial" w:hAnsi="Arial" w:cs="Arial"/>
                <w:b/>
                <w:bCs/>
                <w:sz w:val="36"/>
                <w:szCs w:val="36"/>
              </w:rPr>
            </w:pPr>
          </w:p>
          <w:p>
            <w:pPr>
              <w:pStyle w:val="RedNomDoc"/>
              <w:widowControl/>
              <w:rPr>
                <w:sz w:val="36"/>
                <w:szCs w:val="36"/>
              </w:rPr>
            </w:pPr>
            <w:r>
              <w:rPr>
                <w:sz w:val="32"/>
                <w:szCs w:val="36"/>
              </w:rPr>
              <w:t xml:space="preserve">ACTE D'ENGAGEMENT </w:t>
            </w:r>
          </w:p>
        </w:tc>
        <w:tc>
          <w:tcPr>
            <w:tcW w:w="2411" w:type="dxa"/>
          </w:tcPr>
          <w:p>
            <w:pPr>
              <w:widowControl/>
              <w:jc w:val="center"/>
              <w:rPr>
                <w:rFonts w:ascii="Arial" w:hAnsi="Arial" w:cs="Arial"/>
                <w:b/>
                <w:bCs/>
                <w:sz w:val="24"/>
                <w:szCs w:val="24"/>
              </w:rPr>
            </w:pPr>
            <w:r>
              <w:rPr>
                <w:rFonts w:ascii="Arial" w:hAnsi="Arial" w:cs="Arial"/>
                <w:b/>
                <w:bCs/>
                <w:noProof/>
                <w:sz w:val="24"/>
                <w:szCs w:val="24"/>
              </w:rPr>
              <w:drawing>
                <wp:inline distT="0" distB="0" distL="0" distR="0">
                  <wp:extent cx="1285875" cy="13239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1323975"/>
                          </a:xfrm>
                          <a:prstGeom prst="rect">
                            <a:avLst/>
                          </a:prstGeom>
                          <a:noFill/>
                        </pic:spPr>
                      </pic:pic>
                    </a:graphicData>
                  </a:graphic>
                </wp:inline>
              </w:drawing>
            </w:r>
          </w:p>
        </w:tc>
      </w:tr>
    </w:tbl>
    <w:p>
      <w:pPr>
        <w:widowControl/>
        <w:rPr>
          <w:rFonts w:ascii="Arial" w:hAnsi="Arial" w:cs="Arial"/>
          <w:b/>
          <w:bCs/>
          <w:sz w:val="8"/>
        </w:rPr>
      </w:pPr>
    </w:p>
    <w:p>
      <w:pPr>
        <w:widowControl/>
        <w:rPr>
          <w:rFonts w:ascii="Arial" w:hAnsi="Arial" w:cs="Arial"/>
          <w:b/>
          <w:bCs/>
        </w:rPr>
      </w:pPr>
      <w:r>
        <w:rPr>
          <w:rFonts w:ascii="Arial" w:hAnsi="Arial" w:cs="Arial"/>
          <w:b/>
          <w:bCs/>
          <w:noProof/>
        </w:rPr>
        <mc:AlternateContent>
          <mc:Choice Requires="wps">
            <w:drawing>
              <wp:anchor distT="0" distB="0" distL="114300" distR="114300" simplePos="0" relativeHeight="251659264" behindDoc="1" locked="0" layoutInCell="1" allowOverlap="1">
                <wp:simplePos x="0" y="0"/>
                <wp:positionH relativeFrom="column">
                  <wp:posOffset>-33020</wp:posOffset>
                </wp:positionH>
                <wp:positionV relativeFrom="paragraph">
                  <wp:posOffset>3175</wp:posOffset>
                </wp:positionV>
                <wp:extent cx="5850255" cy="2495550"/>
                <wp:effectExtent l="0" t="0" r="1714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495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1" o:spid="_x0000_s1026" style="position:absolute;margin-left:-2.6pt;margin-top:.25pt;width:460.65pt;height:1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"/>
            </w:pict>
          </mc:Fallback>
        </mc:AlternateContent>
      </w:r>
    </w:p>
    <w:p>
      <w:pPr>
        <w:widowControl/>
        <w:rPr>
          <w:rFonts w:ascii="Arial" w:hAnsi="Arial" w:cs="Arial"/>
          <w:i/>
          <w:iCs/>
          <w:color w:val="00B050"/>
          <w:sz w:val="16"/>
          <w:szCs w:val="16"/>
        </w:rPr>
      </w:pP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MARCHE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sz w:val="1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rPr>
            </w:pPr>
          </w:p>
          <w:p>
            <w:pPr>
              <w:widowControl/>
              <w:rPr>
                <w:rFonts w:ascii="Arial" w:hAnsi="Arial" w:cs="Arial"/>
                <w:b/>
                <w:bCs/>
                <w:sz w:val="18"/>
                <w:szCs w:val="18"/>
              </w:rPr>
            </w:pPr>
            <w:r>
              <w:rPr>
                <w:rFonts w:ascii="Arial" w:hAnsi="Arial" w:cs="Arial"/>
                <w:b/>
                <w:bCs/>
                <w:sz w:val="18"/>
                <w:szCs w:val="18"/>
              </w:rPr>
              <w:t>Partie à bons de commandes avec un montant maximum de 2 608 000€ HT pour toute la durée du marché</w:t>
            </w:r>
          </w:p>
          <w:p>
            <w:pPr>
              <w:widowControl/>
              <w:rPr>
                <w:rFonts w:ascii="Arial" w:hAnsi="Arial" w:cs="Arial"/>
                <w:b/>
                <w:bCs/>
                <w:sz w:val="18"/>
                <w:szCs w:val="18"/>
              </w:rPr>
            </w:pP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sz w:val="16"/>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Cs w:val="10"/>
        </w:rPr>
      </w:pPr>
    </w:p>
    <w:p>
      <w:pPr>
        <w:widowControl/>
        <w:rPr>
          <w:rFonts w:ascii="Arial" w:hAnsi="Arial" w:cs="Arial"/>
          <w:b/>
          <w:bCs/>
          <w:sz w:val="12"/>
          <w:szCs w:val="10"/>
        </w:rPr>
      </w:pPr>
    </w:p>
    <w:p>
      <w:pPr>
        <w:widowControl/>
        <w:pBdr>
          <w:top w:val="single" w:sz="4" w:space="1" w:color="auto"/>
          <w:left w:val="single" w:sz="4" w:space="4" w:color="auto"/>
          <w:bottom w:val="single" w:sz="4" w:space="1" w:color="auto"/>
          <w:right w:val="single" w:sz="4" w:space="4" w:color="auto"/>
        </w:pBdr>
        <w:jc w:val="center"/>
        <w:rPr>
          <w:rFonts w:ascii="Arial" w:hAnsi="Arial" w:cs="Arial"/>
          <w:b/>
          <w:bCs/>
          <w:color w:val="C0504D"/>
          <w:sz w:val="32"/>
          <w:szCs w:val="32"/>
        </w:rPr>
      </w:pPr>
      <w:r>
        <w:rPr>
          <w:rFonts w:ascii="Arial" w:hAnsi="Arial" w:cs="Arial"/>
          <w:b/>
          <w:bCs/>
          <w:color w:val="C0504D"/>
          <w:sz w:val="32"/>
          <w:szCs w:val="32"/>
        </w:rPr>
        <w:t>Partie 1 - ACTE D’ENGAGEMENT (CONTRAT)</w:t>
      </w: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 xml:space="preserve">Objet </w:t>
      </w:r>
      <w:r>
        <w:rPr>
          <w:rFonts w:ascii="Arial" w:hAnsi="Arial" w:cs="Arial"/>
          <w:b/>
          <w:bCs/>
          <w:sz w:val="22"/>
          <w:lang w:eastAsia="zh-CN"/>
        </w:rPr>
        <w:t xml:space="preserve">du marché </w:t>
      </w:r>
      <w:r>
        <w:rPr>
          <w:rFonts w:ascii="Arial" w:hAnsi="Arial" w:cs="Arial"/>
          <w:b/>
          <w:sz w:val="22"/>
          <w:lang w:eastAsia="zh-CN"/>
        </w:rPr>
        <w:t>:</w:t>
      </w:r>
    </w:p>
    <w:p>
      <w:pPr>
        <w:tabs>
          <w:tab w:val="left" w:pos="426"/>
          <w:tab w:val="left" w:pos="851"/>
        </w:tabs>
        <w:suppressAutoHyphens/>
        <w:jc w:val="both"/>
        <w:rPr>
          <w:rFonts w:ascii="Arial" w:hAnsi="Arial" w:cs="Arial"/>
          <w:i/>
          <w:szCs w:val="18"/>
          <w:lang w:eastAsia="zh-CN"/>
        </w:rPr>
      </w:pPr>
    </w:p>
    <w:p>
      <w:pPr>
        <w:pStyle w:val="RedTitre1"/>
        <w:keepNext/>
        <w:framePr w:hSpace="0" w:wrap="auto" w:vAnchor="margin" w:xAlign="left" w:yAlign="inline"/>
        <w:widowControl/>
      </w:pPr>
      <w:r>
        <w:t>Passé selon la procédure adaptée ouverte (Article R2123-1 3° - services sociaux -  Code de la commande publique)</w:t>
      </w:r>
    </w:p>
    <w:p>
      <w:pPr>
        <w:pStyle w:val="RedTitre1"/>
        <w:keepNext/>
        <w:framePr w:hSpace="0" w:wrap="auto" w:vAnchor="margin" w:xAlign="left" w:yAlign="inline"/>
        <w:widowControl/>
      </w:pPr>
    </w:p>
    <w:p>
      <w:pPr>
        <w:widowControl/>
        <w:shd w:val="clear" w:color="auto" w:fill="595959"/>
        <w:jc w:val="center"/>
        <w:rPr>
          <w:rFonts w:ascii="Arial" w:hAnsi="Arial" w:cs="Arial"/>
          <w:b/>
          <w:bCs/>
          <w:color w:val="FFFFFF"/>
          <w:sz w:val="28"/>
          <w:szCs w:val="48"/>
        </w:rPr>
      </w:pPr>
      <w:bookmarkStart w:id="17" w:name="ObjLot"/>
    </w:p>
    <w:p>
      <w:pPr>
        <w:widowControl/>
        <w:shd w:val="clear" w:color="auto" w:fill="595959" w:themeFill="text1" w:themeFillTint="A6"/>
        <w:jc w:val="center"/>
        <w:rPr>
          <w:rFonts w:ascii="Arial" w:hAnsi="Arial" w:cs="Arial"/>
          <w:b/>
          <w:bCs/>
          <w:color w:val="FFFFFF" w:themeColor="background1"/>
          <w:sz w:val="28"/>
          <w:szCs w:val="28"/>
        </w:rPr>
      </w:pPr>
      <w:r>
        <w:rPr>
          <w:rFonts w:ascii="Arial" w:hAnsi="Arial" w:cs="Arial"/>
          <w:b/>
          <w:bCs/>
          <w:color w:val="FFFFFF" w:themeColor="background1"/>
          <w:sz w:val="28"/>
          <w:szCs w:val="28"/>
        </w:rPr>
        <w:t>Prestations de transports sanitaires para médicalisés et médicalisés pour le compte des établissements du GHT 78 Sud (Relance Lots 2 ; 3 et 4)</w:t>
      </w:r>
    </w:p>
    <w:p>
      <w:pPr>
        <w:widowControl/>
        <w:shd w:val="clear" w:color="auto" w:fill="595959" w:themeFill="text1" w:themeFillTint="A6"/>
        <w:jc w:val="center"/>
        <w:rPr>
          <w:rFonts w:ascii="Arial" w:hAnsi="Arial" w:cs="Arial"/>
          <w:b/>
          <w:bCs/>
          <w:color w:val="FF0000"/>
          <w:sz w:val="28"/>
          <w:szCs w:val="28"/>
        </w:rPr>
      </w:pPr>
      <w:r>
        <w:rPr>
          <w:rFonts w:ascii="Arial" w:hAnsi="Arial" w:cs="Arial"/>
          <w:b/>
          <w:bCs/>
          <w:color w:val="FF0000"/>
          <w:sz w:val="28"/>
          <w:szCs w:val="28"/>
        </w:rPr>
        <w:t>Un acte d’engagement à remplir par lot</w:t>
      </w:r>
    </w:p>
    <w:p>
      <w:pPr>
        <w:widowControl/>
        <w:shd w:val="clear" w:color="auto" w:fill="595959" w:themeFill="text1" w:themeFillTint="A6"/>
        <w:jc w:val="center"/>
        <w:rPr>
          <w:rFonts w:ascii="Arial" w:hAnsi="Arial" w:cs="Arial"/>
          <w:b/>
          <w:bCs/>
          <w:color w:val="FF0000"/>
          <w:sz w:val="28"/>
          <w:szCs w:val="28"/>
        </w:rPr>
      </w:pPr>
    </w:p>
    <w:bookmarkEnd w:id="17"/>
    <w:p>
      <w:pPr>
        <w:widowControl/>
        <w:rPr>
          <w:rFonts w:ascii="Arial" w:hAnsi="Arial" w:cs="Arial"/>
          <w:sz w:val="22"/>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8"/>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Univers" w:hAnsi="Univers" w:cs="Univer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 xml:space="preserve">à l’ensemble du marché  </w:t>
      </w:r>
    </w:p>
    <w:p>
      <w:pPr>
        <w:keepLines w:val="0"/>
        <w:widowControl/>
        <w:tabs>
          <w:tab w:val="left" w:pos="426"/>
          <w:tab w:val="left" w:pos="851"/>
          <w:tab w:val="left" w:pos="1418"/>
        </w:tabs>
        <w:suppressAutoHyphens/>
        <w:autoSpaceDE/>
        <w:autoSpaceDN/>
        <w:adjustRightInd/>
        <w:ind w:left="851"/>
        <w:jc w:val="both"/>
        <w:rPr>
          <w:rFonts w:ascii="Univers" w:hAnsi="Univers" w:cs="Univers"/>
          <w:lang w:eastAsia="zh-CN"/>
        </w:rPr>
      </w:pPr>
    </w:p>
    <w:p>
      <w:pPr>
        <w:keepLines w:val="0"/>
        <w:widowControl/>
        <w:tabs>
          <w:tab w:val="left" w:pos="426"/>
          <w:tab w:val="left" w:pos="851"/>
          <w:tab w:val="left" w:pos="1418"/>
        </w:tabs>
        <w:suppressAutoHyphens/>
        <w:autoSpaceDE/>
        <w:autoSpaceDN/>
        <w:adjustRightInd/>
        <w:ind w:left="851"/>
        <w:jc w:val="both"/>
        <w:rPr>
          <w:rFonts w:ascii="Univers" w:hAnsi="Univers" w:cs="Univers"/>
          <w:lang w:eastAsia="zh-CN"/>
        </w:rPr>
      </w:pPr>
    </w:p>
    <w:p>
      <w:pPr>
        <w:keepLines w:val="0"/>
        <w:widowControl/>
        <w:tabs>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au lot n° ……. ou aux lots n° …………… du marché  </w:t>
      </w:r>
      <w:r>
        <w:rPr>
          <w:rFonts w:ascii="Arial" w:hAnsi="Arial" w:cs="Arial"/>
          <w:i/>
          <w:iCs/>
          <w:sz w:val="18"/>
          <w:szCs w:val="18"/>
          <w:lang w:eastAsia="zh-CN"/>
        </w:rPr>
        <w:t>(en cas d’allotissement)</w:t>
      </w:r>
      <w:r>
        <w:rPr>
          <w:rFonts w:ascii="Arial" w:hAnsi="Arial" w:cs="Arial"/>
          <w:lang w:eastAsia="zh-CN"/>
        </w:rPr>
        <w:t> </w:t>
      </w: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numPr>
          <w:ilvl w:val="0"/>
          <w:numId w:val="8"/>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r>
        <w:rPr>
          <w:rFonts w:ascii="Arial" w:hAnsi="Arial" w:cs="Arial"/>
          <w:i/>
          <w:lang w:eastAsia="zh-CN"/>
        </w:rPr>
        <w:t>à</w:t>
      </w:r>
      <w:r>
        <w:rPr>
          <w:rFonts w:ascii="Arial" w:hAnsi="Arial" w:cs="Arial"/>
          <w:lang w:eastAsia="zh-CN"/>
        </w:rPr>
        <w:t xml:space="preserve"> l’offre de base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B- Engagement du titulaire ou du groupement titulaire</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Univers" w:hAnsi="Univers" w:cs="Univers"/>
          <w:lang w:eastAsia="zh-CN"/>
        </w:rPr>
      </w:pPr>
      <w:r>
        <w:rPr>
          <w:rFonts w:ascii="Arial" w:hAnsi="Arial" w:cs="Arial"/>
          <w:lang w:eastAsia="zh-CN"/>
        </w:rPr>
        <w:t>Après avoir pris connaissance des éléments constitutifs du marché listés dans ce présent document, et conformément à leurs clauses</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s’engage,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r>
        <w:rPr>
          <w:rFonts w:ascii="Arial" w:hAnsi="Arial" w:cs="Arial"/>
          <w:u w:val="single"/>
          <w:lang w:eastAsia="zh-CN"/>
        </w:rPr>
        <w:t>ou</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engage,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16"/>
          <w:u w:val="single"/>
        </w:rPr>
      </w:pPr>
    </w:p>
    <w:p>
      <w:pPr>
        <w:pStyle w:val="RedTxt"/>
        <w:rPr>
          <w:bCs/>
          <w:iCs/>
          <w:sz w:val="20"/>
          <w:u w:val="single"/>
        </w:rPr>
      </w:pPr>
      <w:r>
        <w:rPr>
          <w:bCs/>
          <w:iCs/>
          <w:sz w:val="20"/>
          <w:u w:val="single"/>
        </w:rPr>
        <w:t>ou</w:t>
      </w:r>
    </w:p>
    <w:p>
      <w:pPr>
        <w:pStyle w:val="RedTxt"/>
        <w:rPr>
          <w:bCs/>
          <w:iCs/>
          <w:sz w:val="20"/>
        </w:rPr>
      </w:pPr>
    </w:p>
    <w:p>
      <w:pPr>
        <w:pStyle w:val="fcase1ertab"/>
        <w:ind w:left="0" w:firstLine="0"/>
        <w:rPr>
          <w:rFonts w:ascii="Arial" w:hAnsi="Arial" w:cs="Arial"/>
          <w:u w:val="single"/>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 xml:space="preserve">(indiquer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rPr>
      </w:pPr>
    </w:p>
    <w:p>
      <w:pPr>
        <w:pStyle w:val="RedTxt"/>
        <w:rPr>
          <w:b/>
          <w:bCs/>
          <w:i/>
          <w:iCs/>
          <w:sz w:val="20"/>
        </w:rPr>
        <w:sectPr>
          <w:headerReference w:type="default" r:id="rId10"/>
          <w:footerReference w:type="default" r:id="rId11"/>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Opérateur économique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Opérateur économique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2"/>
          <w:footerReference w:type="default" r:id="rId13"/>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pPr>
      <w:r>
        <w:rPr>
          <w:rFonts w:ascii="Arial" w:hAnsi="Arial" w:cs="Arial"/>
        </w:rPr>
        <w:t>à exécuter les prestations demandées</w:t>
      </w:r>
      <w:r>
        <w:t xml:space="preserve"> dans les conditions définies ci-après</w:t>
      </w:r>
      <w:r>
        <w:rPr>
          <w:rFonts w:ascii="Arial" w:hAnsi="Arial" w:cs="Arial"/>
        </w:rPr>
        <w:t>:</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t>aux prix indiqués ci-dessous :</w:t>
      </w:r>
    </w:p>
    <w:p>
      <w:pPr>
        <w:pStyle w:val="RedTxt"/>
        <w:shd w:val="clear" w:color="auto" w:fill="CCFFFF"/>
        <w:rPr>
          <w:b/>
          <w:bCs/>
          <w:i/>
          <w:iCs/>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778"/>
        <w:gridCol w:w="3436"/>
      </w:tblGrid>
      <w:tr>
        <w:tc>
          <w:tcPr>
            <w:tcW w:w="5778" w:type="dxa"/>
            <w:tcBorders>
              <w:right w:val="single" w:sz="12" w:space="0" w:color="auto"/>
            </w:tcBorders>
            <w:shd w:val="clear" w:color="auto" w:fill="CCFFFF"/>
          </w:tcPr>
          <w:p>
            <w:pPr>
              <w:pStyle w:val="RedTxt"/>
              <w:shd w:val="clear" w:color="auto" w:fill="CCFFFF"/>
              <w:spacing w:before="160" w:after="120"/>
            </w:pPr>
            <w:r>
              <w:t>Montant hors TVA</w:t>
            </w:r>
          </w:p>
        </w:tc>
        <w:tc>
          <w:tcPr>
            <w:tcW w:w="3436" w:type="dxa"/>
            <w:tcBorders>
              <w:top w:val="single" w:sz="12"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bottom w:val="double" w:sz="4" w:space="0" w:color="auto"/>
              <w:right w:val="single" w:sz="12" w:space="0" w:color="auto"/>
            </w:tcBorders>
            <w:shd w:val="clear" w:color="auto" w:fill="CCFFFF"/>
          </w:tcPr>
          <w:p>
            <w:pPr>
              <w:pStyle w:val="RedTxt"/>
              <w:shd w:val="clear" w:color="auto" w:fill="CCFFFF"/>
              <w:spacing w:before="160" w:after="120"/>
            </w:pPr>
            <w:r>
              <w:t>Montant de TVA                                         Taux de TVA (</w:t>
            </w: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r>
              <w:t>%)</w:t>
            </w:r>
          </w:p>
        </w:tc>
        <w:tc>
          <w:tcPr>
            <w:tcW w:w="3436" w:type="dxa"/>
            <w:tcBorders>
              <w:top w:val="single" w:sz="12" w:space="0" w:color="auto"/>
              <w:left w:val="single" w:sz="12" w:space="0" w:color="auto"/>
              <w:bottom w:val="double" w:sz="4"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top w:val="double" w:sz="4" w:space="0" w:color="auto"/>
              <w:right w:val="single" w:sz="12" w:space="0" w:color="auto"/>
            </w:tcBorders>
            <w:shd w:val="clear" w:color="auto" w:fill="CCFFFF"/>
          </w:tcPr>
          <w:p>
            <w:pPr>
              <w:pStyle w:val="RedTxt"/>
              <w:shd w:val="clear" w:color="auto" w:fill="CCFFFF"/>
              <w:spacing w:before="160" w:after="120"/>
            </w:pPr>
            <w:r>
              <w:t>Montant TVA incluse</w:t>
            </w:r>
          </w:p>
        </w:tc>
        <w:tc>
          <w:tcPr>
            <w:tcW w:w="3436" w:type="dxa"/>
            <w:tcBorders>
              <w:top w:val="double" w:sz="4"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bl>
    <w:p>
      <w:pPr>
        <w:pStyle w:val="RedTxt"/>
        <w:shd w:val="clear" w:color="auto" w:fill="CCFFFF"/>
        <w:rPr>
          <w:b/>
          <w:bCs/>
          <w:i/>
          <w:iCs/>
          <w:sz w:val="20"/>
        </w:rPr>
      </w:pPr>
    </w:p>
    <w:p>
      <w:pPr>
        <w:pStyle w:val="RedTxt"/>
        <w:shd w:val="clear" w:color="auto" w:fill="CCFFFF"/>
        <w:spacing w:before="60"/>
        <w:rPr>
          <w:i/>
          <w:iCs/>
        </w:rPr>
      </w:pPr>
      <w:r>
        <w:rPr>
          <w:b/>
          <w:i/>
          <w:iCs/>
        </w:rPr>
        <w:t>Montant global HT</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b/>
          <w:bCs/>
          <w:i/>
          <w:iCs/>
          <w:sz w:val="20"/>
        </w:rPr>
      </w:pPr>
    </w:p>
    <w:p>
      <w:pPr>
        <w:pStyle w:val="RedTxt"/>
        <w:shd w:val="clear" w:color="auto" w:fill="CCFFFF"/>
        <w:spacing w:before="60"/>
        <w:rPr>
          <w:i/>
          <w:iCs/>
        </w:rPr>
      </w:pPr>
      <w:r>
        <w:rPr>
          <w:b/>
          <w:i/>
          <w:iCs/>
        </w:rPr>
        <w:t>Montant global TTC</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sz w:val="20"/>
        </w:rPr>
      </w:pPr>
    </w:p>
    <w:p>
      <w:pPr>
        <w:pStyle w:val="RedTxt"/>
        <w:shd w:val="clear" w:color="auto" w:fill="CCFFFF"/>
        <w:rPr>
          <w:u w:val="single"/>
        </w:rPr>
      </w:pPr>
      <w:r>
        <w:rPr>
          <w:u w:val="single"/>
        </w:rPr>
        <w:t>ou</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b/>
        </w:rPr>
        <w:t>aux prix indiqués dans les annexes financières (BPU</w:t>
      </w:r>
      <w:r>
        <w:rPr>
          <w:b/>
        </w:rPr>
        <w:t xml:space="preserve">) </w:t>
      </w:r>
      <w:r>
        <w:rPr>
          <w:rFonts w:ascii="Arial" w:hAnsi="Arial" w:cs="Arial"/>
          <w:b/>
        </w:rPr>
        <w:t>jointes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keepLines w:val="0"/>
        <w:widowControl/>
        <w:tabs>
          <w:tab w:val="left" w:pos="426"/>
          <w:tab w:val="left" w:pos="851"/>
        </w:tabs>
        <w:suppressAutoHyphens/>
        <w:autoSpaceDE/>
        <w:autoSpaceDN/>
        <w:adjustRightInd/>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de l’accord cadre,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r>
      <w:r>
        <w:rPr>
          <w:rFonts w:ascii="Arial" w:hAnsi="Arial" w:cs="Arial"/>
        </w:rPr>
        <w:t>solidaire</w:t>
      </w: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Univers" w:hAnsi="Univers" w:cs="Univers"/>
                <w:b/>
                <w:lang w:eastAsia="zh-CN"/>
              </w:rPr>
            </w:pPr>
            <w:r>
              <w:rPr>
                <w:rFonts w:ascii="Arial" w:hAnsi="Arial" w:cs="Arial"/>
                <w:b/>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1043"/>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(compléter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Arial" w:hAnsi="Arial" w:cs="Arial"/>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Délais de paiement</w:t>
      </w:r>
    </w:p>
    <w:p>
      <w:pPr>
        <w:pStyle w:val="RedTxt"/>
        <w:rPr>
          <w:b/>
          <w:bCs/>
          <w:i/>
          <w:iCs/>
          <w:sz w:val="20"/>
        </w:rPr>
      </w:pPr>
    </w:p>
    <w:p>
      <w:pPr>
        <w:pStyle w:val="RedTxt"/>
        <w:jc w:val="both"/>
      </w:pPr>
      <w:r>
        <w:t>L’établissement Bénéficiaire est un établissement de santé : le délai de paiement est de 50 (cinquante) jours à compter de la date de réception de la facture. Le paiement s’effectuera par mandat administratif.</w:t>
      </w:r>
    </w:p>
    <w:p>
      <w:pPr>
        <w:pStyle w:val="RedTxt"/>
        <w:jc w:val="both"/>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Avance</w:t>
      </w:r>
    </w:p>
    <w:p>
      <w:pPr>
        <w:keepLines w:val="0"/>
        <w:widowControl/>
        <w:tabs>
          <w:tab w:val="left" w:pos="426"/>
        </w:tabs>
        <w:suppressAutoHyphens/>
        <w:autoSpaceDE/>
        <w:autoSpaceDN/>
        <w:adjustRightInd/>
        <w:jc w:val="both"/>
        <w:rPr>
          <w:rFonts w:ascii="Arial" w:hAnsi="Arial" w:cs="Arial"/>
          <w:b/>
          <w:sz w:val="24"/>
          <w:szCs w:val="24"/>
          <w:lang w:eastAsia="zh-CN"/>
        </w:rPr>
      </w:pPr>
    </w:p>
    <w:p>
      <w:pPr>
        <w:tabs>
          <w:tab w:val="left" w:pos="720"/>
          <w:tab w:val="left" w:pos="1080"/>
        </w:tabs>
        <w:jc w:val="both"/>
        <w:rPr>
          <w:rFonts w:ascii="Arial" w:hAnsi="Arial" w:cs="Arial"/>
        </w:rPr>
      </w:pPr>
      <w:r>
        <w:rPr>
          <w:rFonts w:ascii="Arial" w:hAnsi="Arial" w:cs="Arial"/>
        </w:rPr>
        <w:t xml:space="preserve">En application des dispositions de l’article R. 2191-3 du code de la commande publique, le présent marché ouvre droit au versement d’une avance </w:t>
      </w:r>
      <w:r>
        <w:rPr>
          <w:rFonts w:ascii="Arial" w:hAnsi="Arial" w:cs="Arial"/>
          <w:color w:val="000000"/>
        </w:rPr>
        <w:t xml:space="preserve">si le montant du contrat, de la commande, de la reconduction, est supérieur à 50 000 € HT et le délai d’exécution supérieur à deux mois.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 xml:space="preserve">Le Titulaire accepte le bénéfice de l’avance prévue à l’article R2191-3 du Code de la Commande Publique :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OUI </w:t>
      </w: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NON</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Dans le cas où le titulaire décide de bénéficier de l’avance, l’acheteur opte pour l’une ou l’autre des options suivantes. A défaut, l’option A est retenue d’office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A</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B</w:t>
      </w:r>
    </w:p>
    <w:p>
      <w:pPr>
        <w:keepLines w:val="0"/>
        <w:widowControl/>
        <w:tabs>
          <w:tab w:val="left" w:pos="426"/>
        </w:tabs>
        <w:suppressAutoHyphens/>
        <w:autoSpaceDE/>
        <w:autoSpaceDN/>
        <w:adjustRightInd/>
        <w:jc w:val="both"/>
        <w:rPr>
          <w:rFonts w:ascii="Arial" w:hAnsi="Arial" w:cs="Arial"/>
          <w:sz w:val="18"/>
          <w:szCs w:val="18"/>
        </w:rPr>
      </w:pPr>
    </w:p>
    <w:p>
      <w:pPr>
        <w:jc w:val="both"/>
        <w:rPr>
          <w:rFonts w:ascii="Arial" w:hAnsi="Arial" w:cs="Arial"/>
          <w:i/>
          <w:sz w:val="18"/>
          <w:szCs w:val="18"/>
          <w:lang w:eastAsia="zh-CN"/>
        </w:rPr>
      </w:pPr>
      <w:r>
        <w:rPr>
          <w:rFonts w:ascii="Arial" w:hAnsi="Arial" w:cs="Arial"/>
          <w:i/>
          <w:sz w:val="18"/>
          <w:szCs w:val="18"/>
          <w:lang w:eastAsia="zh-CN"/>
        </w:rPr>
        <w:t>Dans le cas où le titulaire souhaite une avance. Elle sera de 30 % du montant indiqué, conformément aux conditions prévues à l’article R. 2191-7 du code de la commande publique, soit d’un montant total de : ………………….   € HT minimum.</w:t>
      </w: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Voies et délais de recours</w:t>
      </w:r>
    </w:p>
    <w:p>
      <w:pPr>
        <w:keepLines w:val="0"/>
        <w:widowControl/>
        <w:tabs>
          <w:tab w:val="left" w:pos="426"/>
        </w:tabs>
        <w:suppressAutoHyphens/>
        <w:autoSpaceDE/>
        <w:autoSpaceDN/>
        <w:adjustRightInd/>
        <w:jc w:val="both"/>
        <w:rPr>
          <w:rFonts w:ascii="Arial" w:hAnsi="Arial" w:cs="Arial"/>
          <w:b/>
          <w:sz w:val="24"/>
          <w:szCs w:val="24"/>
          <w:lang w:eastAsia="zh-CN"/>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Arial" w:hAnsi="Arial" w:cs="Arial"/>
          <w:sz w:val="18"/>
          <w:szCs w:val="18"/>
        </w:rPr>
        <w:t>Tout litige né de l’exécution de la prestation est du ressort du</w:t>
      </w:r>
      <w:r>
        <w:rPr>
          <w:rFonts w:ascii="Arial" w:hAnsi="Arial" w:cs="Arial"/>
          <w:b/>
          <w:sz w:val="24"/>
          <w:szCs w:val="24"/>
          <w:lang w:eastAsia="zh-CN"/>
        </w:rPr>
        <w:t> :</w:t>
      </w:r>
    </w:p>
    <w:p>
      <w:pPr>
        <w:pStyle w:val="RedTxt"/>
        <w:tabs>
          <w:tab w:val="left" w:pos="993"/>
        </w:tabs>
        <w:jc w:val="both"/>
      </w:pPr>
    </w:p>
    <w:p>
      <w:pPr>
        <w:pStyle w:val="RedTxt"/>
        <w:tabs>
          <w:tab w:val="left" w:pos="993"/>
        </w:tabs>
        <w:jc w:val="both"/>
      </w:pPr>
      <w:r>
        <w:tab/>
        <w:t>Tribunal Administratif de Versailles</w:t>
      </w:r>
    </w:p>
    <w:p>
      <w:pPr>
        <w:pStyle w:val="RedTxt"/>
        <w:tabs>
          <w:tab w:val="left" w:pos="993"/>
        </w:tabs>
        <w:jc w:val="both"/>
      </w:pPr>
      <w:r>
        <w:tab/>
        <w:t>Greffe du Tribunal Administratif de Versailles</w:t>
      </w:r>
    </w:p>
    <w:p>
      <w:pPr>
        <w:pStyle w:val="RedTxt"/>
        <w:tabs>
          <w:tab w:val="left" w:pos="993"/>
        </w:tabs>
        <w:jc w:val="both"/>
      </w:pPr>
      <w:r>
        <w:tab/>
        <w:t xml:space="preserve">56, avenue de Saint-Cloud </w:t>
      </w:r>
    </w:p>
    <w:p>
      <w:pPr>
        <w:pStyle w:val="RedTxt"/>
        <w:tabs>
          <w:tab w:val="left" w:pos="993"/>
        </w:tabs>
        <w:jc w:val="both"/>
      </w:pPr>
      <w:r>
        <w:tab/>
        <w:t>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w:t>
      </w:r>
      <w:hyperlink r:id="rId14" w:history="1">
        <w:r>
          <w:rPr>
            <w:rStyle w:val="Lienhypertexte"/>
            <w:rFonts w:ascii="Arial" w:hAnsi="Arial" w:cs="Arial"/>
          </w:rPr>
          <w:t>greffe.ta-versailles@juradm.fr</w:t>
        </w:r>
      </w:hyperlink>
      <w:r>
        <w:t xml:space="preserve">  </w:t>
      </w:r>
    </w:p>
    <w:p>
      <w:pPr>
        <w:pStyle w:val="RedTxt"/>
        <w:tabs>
          <w:tab w:val="left" w:pos="993"/>
        </w:tabs>
        <w:jc w:val="both"/>
      </w:pPr>
      <w:r>
        <w:tab/>
        <w:t xml:space="preserve">Adresse internet : </w:t>
      </w:r>
      <w:hyperlink r:id="rId15" w:history="1">
        <w:r>
          <w:rPr>
            <w:rStyle w:val="Lienhypertexte"/>
          </w:rPr>
          <w:t>http://www.ta-versailles.juradm.fr</w:t>
        </w:r>
      </w:hyperlink>
    </w:p>
    <w:p>
      <w:pPr>
        <w:pStyle w:val="RedTxt"/>
        <w:tabs>
          <w:tab w:val="left" w:pos="993"/>
        </w:tabs>
        <w:jc w:val="both"/>
      </w:pPr>
    </w:p>
    <w:p>
      <w:pPr>
        <w:keepLines w:val="0"/>
        <w:widowControl/>
        <w:tabs>
          <w:tab w:val="left" w:pos="426"/>
        </w:tabs>
        <w:suppressAutoHyphens/>
        <w:autoSpaceDE/>
        <w:autoSpaceDN/>
        <w:adjustRightInd/>
        <w:jc w:val="both"/>
        <w:rPr>
          <w:rFonts w:ascii="Arial" w:hAnsi="Arial" w:cs="Arial"/>
          <w:b/>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Durée totale du marché </w:t>
      </w:r>
    </w:p>
    <w:p>
      <w:pPr>
        <w:pStyle w:val="RedTxt"/>
        <w:rPr>
          <w:b/>
          <w:bCs/>
          <w:i/>
          <w:iCs/>
          <w:sz w:val="20"/>
        </w:rPr>
      </w:pP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r>
        <w:rPr>
          <w:rFonts w:ascii="Arial" w:hAnsi="Arial" w:cs="Arial"/>
          <w:lang w:eastAsia="zh-CN"/>
        </w:rPr>
        <w:t>La durée du marché est conclue pour une durée de 12 mois</w:t>
      </w:r>
      <w:r>
        <w:rPr>
          <w:rFonts w:ascii="Arial" w:hAnsi="Arial" w:cs="Arial"/>
          <w:b/>
          <w:bCs/>
          <w:lang w:eastAsia="zh-CN"/>
        </w:rPr>
        <w:t xml:space="preserve">.  </w:t>
      </w: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r>
        <w:rPr>
          <w:rFonts w:ascii="Arial" w:hAnsi="Arial" w:cs="Arial"/>
          <w:b/>
          <w:bCs/>
          <w:lang w:eastAsia="zh-CN"/>
        </w:rPr>
        <w:t>La durée maximale du marché est de 48 mois.</w:t>
      </w: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p>
    <w:p>
      <w:pPr>
        <w:keepLines w:val="0"/>
        <w:widowControl/>
        <w:tabs>
          <w:tab w:val="left" w:pos="576"/>
          <w:tab w:val="left" w:pos="851"/>
          <w:tab w:val="left" w:pos="7290"/>
        </w:tabs>
        <w:suppressAutoHyphens/>
        <w:autoSpaceDE/>
        <w:autoSpaceDN/>
        <w:adjustRightInd/>
        <w:jc w:val="both"/>
        <w:rPr>
          <w:rFonts w:ascii="Arial" w:hAnsi="Arial" w:cs="Arial"/>
          <w:lang w:eastAsia="zh-CN"/>
        </w:rPr>
      </w:pPr>
    </w:p>
    <w:p>
      <w:pPr>
        <w:keepLines w:val="0"/>
        <w:widowControl/>
        <w:tabs>
          <w:tab w:val="left" w:pos="576"/>
          <w:tab w:val="left" w:pos="851"/>
          <w:tab w:val="left" w:pos="7290"/>
        </w:tabs>
        <w:suppressAutoHyphens/>
        <w:autoSpaceDE/>
        <w:autoSpaceDN/>
        <w:adjustRightInd/>
        <w:jc w:val="both"/>
        <w:rPr>
          <w:rFonts w:ascii="Arial" w:hAnsi="Arial" w:cs="Arial"/>
          <w:i/>
          <w:sz w:val="18"/>
          <w:szCs w:val="18"/>
          <w:lang w:eastAsia="zh-CN"/>
        </w:rPr>
      </w:pPr>
      <w:r>
        <w:rPr>
          <w:rFonts w:ascii="Arial" w:hAnsi="Arial" w:cs="Arial"/>
          <w:lang w:eastAsia="zh-CN"/>
        </w:rPr>
        <w:t>Le marché débutera à compter de :</w:t>
      </w:r>
      <w:r>
        <w:rPr>
          <w:rFonts w:ascii="Arial" w:hAnsi="Arial" w:cs="Arial"/>
          <w:lang w:eastAsia="zh-CN"/>
        </w:rPr>
        <w:tab/>
      </w:r>
    </w:p>
    <w:p>
      <w:pPr>
        <w:keepLines w:val="0"/>
        <w:widowControl/>
        <w:tabs>
          <w:tab w:val="left" w:pos="851"/>
        </w:tabs>
        <w:suppressAutoHyphens/>
        <w:autoSpaceDE/>
        <w:adjustRightInd/>
        <w:rPr>
          <w:rFonts w:ascii="Univers" w:hAnsi="Univers" w:cs="Univers"/>
          <w:color w:val="FF0000"/>
          <w:lang w:eastAsia="zh-CN"/>
        </w:rPr>
      </w:pPr>
    </w:p>
    <w:p>
      <w:pPr>
        <w:keepLines w:val="0"/>
        <w:widowControl/>
        <w:tabs>
          <w:tab w:val="left" w:pos="851"/>
        </w:tabs>
        <w:suppressAutoHyphens/>
        <w:autoSpaceDE/>
        <w:adjustRightInd/>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de l’accord-cadre ;</w:t>
      </w:r>
    </w:p>
    <w:p>
      <w:pPr>
        <w:keepLines w:val="0"/>
        <w:widowControl/>
        <w:tabs>
          <w:tab w:val="left" w:pos="851"/>
        </w:tabs>
        <w:suppressAutoHyphens/>
        <w:autoSpaceDE/>
        <w:adjustRightInd/>
        <w:spacing w:before="120"/>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de l’ordre de service ;</w:t>
      </w:r>
    </w:p>
    <w:p>
      <w:pPr>
        <w:keepLines w:val="0"/>
        <w:widowControl/>
        <w:tabs>
          <w:tab w:val="left" w:pos="851"/>
        </w:tabs>
        <w:suppressAutoHyphens/>
        <w:autoSpaceDE/>
        <w:adjustRightInd/>
        <w:spacing w:before="120"/>
        <w:ind w:left="1418" w:hanging="851"/>
        <w:jc w:val="both"/>
        <w:rPr>
          <w:rFonts w:ascii="Arial" w:hAnsi="Arial" w:cs="Arial"/>
          <w:b/>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la date de début d’exécution prévue par l’accord-cadre soit </w:t>
      </w:r>
      <w:r>
        <w:rPr>
          <w:rFonts w:ascii="Arial" w:hAnsi="Arial" w:cs="Arial"/>
          <w:b/>
          <w:lang w:eastAsia="zh-CN"/>
        </w:rPr>
        <w:t>le 01 novembre 2025</w:t>
      </w:r>
      <w:r>
        <w:rPr>
          <w:rFonts w:ascii="Arial" w:hAnsi="Arial" w:cs="Arial"/>
          <w:lang w:eastAsia="zh-CN"/>
        </w:rPr>
        <w:t xml:space="preserve"> ou de la date de notification du marché si celle-ci est ultérieure, </w:t>
      </w:r>
    </w:p>
    <w:p>
      <w:pPr>
        <w:keepLines w:val="0"/>
        <w:widowControl/>
        <w:tabs>
          <w:tab w:val="left" w:pos="3435"/>
        </w:tabs>
        <w:suppressAutoHyphens/>
        <w:autoSpaceDE/>
        <w:autoSpaceDN/>
        <w:adjustRightInd/>
        <w:rPr>
          <w:rFonts w:ascii="Arial" w:hAnsi="Arial" w:cs="Arial"/>
          <w:lang w:eastAsia="zh-CN"/>
        </w:rPr>
      </w:pPr>
      <w:r>
        <w:rPr>
          <w:rFonts w:ascii="Arial" w:hAnsi="Arial" w:cs="Arial"/>
          <w:lang w:eastAsia="zh-CN"/>
        </w:rPr>
        <w:tab/>
      </w: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L’accord cadre est reconductible :</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7"/>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lang w:eastAsia="zh-CN"/>
        </w:rPr>
        <w:t xml:space="preserve">Reconduction :      </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expresse</w:t>
      </w:r>
      <w:r>
        <w:rPr>
          <w:rFonts w:ascii="Univers" w:hAnsi="Univers" w:cs="Univers"/>
          <w:lang w:eastAsia="zh-CN"/>
        </w:rPr>
        <w:tab/>
        <w:t xml:space="preserve">  </w:t>
      </w:r>
      <w:r>
        <w:rPr>
          <w:rFonts w:ascii="Univers" w:hAnsi="Univers" w:cs="Univers"/>
          <w:u w:val="single"/>
          <w:lang w:eastAsia="zh-CN"/>
        </w:rPr>
        <w:t>ou</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tacite</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Nombre des reconductions : </w:t>
      </w:r>
      <w:r>
        <w:rPr>
          <w:rFonts w:ascii="Arial" w:hAnsi="Arial" w:cs="Arial"/>
          <w:lang w:eastAsia="zh-CN"/>
        </w:rPr>
        <w:tab/>
        <w:t>3</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 xml:space="preserve">Durée des reconductions : </w:t>
      </w:r>
      <w:r>
        <w:rPr>
          <w:rFonts w:ascii="Arial" w:hAnsi="Arial" w:cs="Arial"/>
          <w:lang w:eastAsia="zh-CN"/>
        </w:rPr>
        <w:tab/>
        <w:t>12 mois</w:t>
      </w: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lang w:eastAsia="zh-CN"/>
        </w:rPr>
      </w:pP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b/>
          <w:lang w:eastAsia="zh-CN"/>
        </w:rPr>
      </w:pPr>
      <w:r>
        <w:rPr>
          <w:rFonts w:ascii="Arial" w:hAnsi="Arial" w:cs="Arial"/>
          <w:lang w:eastAsia="zh-CN"/>
        </w:rPr>
        <w:t xml:space="preserve">La durée maximale du marché est de </w:t>
      </w:r>
      <w:r>
        <w:rPr>
          <w:rFonts w:ascii="Arial" w:hAnsi="Arial" w:cs="Arial"/>
          <w:b/>
          <w:lang w:eastAsia="zh-CN"/>
        </w:rPr>
        <w:t>48 mois</w:t>
      </w:r>
      <w:r>
        <w:rPr>
          <w:rFonts w:ascii="Arial" w:hAnsi="Arial" w:cs="Arial"/>
          <w:lang w:eastAsia="zh-CN"/>
        </w:rPr>
        <w:t>.</w:t>
      </w:r>
      <w:bookmarkStart w:id="19" w:name="_GoBack"/>
      <w:bookmarkEnd w:id="19"/>
    </w:p>
    <w:p>
      <w:pPr>
        <w:keepLines w:val="0"/>
        <w:widowControl/>
        <w:tabs>
          <w:tab w:val="left" w:pos="426"/>
          <w:tab w:val="left" w:pos="851"/>
          <w:tab w:val="left" w:pos="3544"/>
        </w:tabs>
        <w:suppressAutoHyphens/>
        <w:autoSpaceDE/>
        <w:autoSpaceDN/>
        <w:adjustRightInd/>
        <w:spacing w:before="120"/>
        <w:ind w:left="924"/>
        <w:jc w:val="both"/>
        <w:rPr>
          <w:rFonts w:ascii="Arial" w:hAnsi="Arial" w:cs="Arial"/>
          <w:b/>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t>C- Signature du marché par le titulaire individuel ou, en cas groupement, le mandataire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Signature de</w:t>
      </w:r>
      <w:r>
        <w:t xml:space="preserve"> </w:t>
      </w:r>
      <w:r>
        <w:rPr>
          <w:rFonts w:ascii="Arial" w:hAnsi="Arial" w:cs="Arial"/>
          <w:b/>
          <w:sz w:val="24"/>
          <w:szCs w:val="24"/>
          <w:lang w:eastAsia="zh-CN"/>
        </w:rPr>
        <w:t xml:space="preserve">l’accord cadre  par le titulaire individuel ou mandataire du groupement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u w:val="single"/>
        </w:rPr>
      </w:pPr>
      <w:r>
        <w:rPr>
          <w:rFonts w:ascii="Arial" w:hAnsi="Arial" w:cs="Arial"/>
          <w:b/>
          <w:sz w:val="22"/>
          <w:szCs w:val="22"/>
          <w:u w:val="single"/>
        </w:rPr>
        <w:t xml:space="preserve">Interdictions de soumissionner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Le candidat individuel, ou chaque membre du groupement, déclare sur l’honneur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a)</w:t>
      </w:r>
      <w:r>
        <w:rPr>
          <w:rFonts w:ascii="Arial" w:hAnsi="Arial" w:cs="Arial"/>
          <w:b/>
          <w:sz w:val="22"/>
          <w:szCs w:val="22"/>
        </w:rPr>
        <w:tab/>
        <w:t>n’entrer dans aucun des cas d’interdiction de soumissionner prévus aux articles L.2141-1 à L.2141-5 et L.2141-7 et à L.2141-11 du Code de la Commande Publique;</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b)   être en règle au regard des articles L.5212-1 à L.5212-11 du Code du Travail concernant l’emploi des travailleurs handicapés.</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Univers" w:hAnsi="Univers" w:cs="Univers"/>
          <w:i/>
          <w:color w:val="FF0000"/>
          <w:sz w:val="16"/>
          <w:szCs w:val="16"/>
          <w:lang w:eastAsia="zh-CN"/>
        </w:rPr>
      </w:pPr>
      <w:r>
        <w:rPr>
          <w:rFonts w:ascii="Arial" w:hAnsi="Arial" w:cs="Arial"/>
          <w:b/>
          <w:sz w:val="22"/>
          <w:szCs w:val="22"/>
        </w:rPr>
        <w:t xml:space="preserve">Afin d’attester que le candidat individuel, ou chaque membre du groupement, n’est pas dans un de ces cas d’interdiction de soumissionner, cocher la case suivante : </w:t>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i/>
          <w:color w:val="FF0000"/>
          <w:sz w:val="16"/>
          <w:szCs w:val="16"/>
          <w:lang w:eastAsia="zh-CN"/>
        </w:rPr>
        <w:t>(à cocher par le candidat)</w:t>
      </w:r>
    </w:p>
    <w:p>
      <w:pPr>
        <w:keepLines w:val="0"/>
        <w:widowControl/>
        <w:tabs>
          <w:tab w:val="left" w:pos="426"/>
        </w:tabs>
        <w:suppressAutoHyphens/>
        <w:autoSpaceDE/>
        <w:autoSpaceDN/>
        <w:adjustRightInd/>
        <w:rPr>
          <w:rFonts w:ascii="Univers" w:hAnsi="Univers" w:cs="Univers"/>
          <w:i/>
          <w:color w:val="FF0000"/>
          <w:sz w:val="16"/>
          <w:szCs w:val="16"/>
          <w:lang w:eastAsia="zh-CN"/>
        </w:rPr>
      </w:pP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p>
    <w:tbl>
      <w:tblPr>
        <w:tblW w:w="9248" w:type="dxa"/>
        <w:tblInd w:w="108" w:type="dxa"/>
        <w:tblLayout w:type="fixed"/>
        <w:tblLook w:val="0000" w:firstRow="0" w:lastRow="0" w:firstColumn="0" w:lastColumn="0" w:noHBand="0" w:noVBand="0"/>
      </w:tblPr>
      <w:tblGrid>
        <w:gridCol w:w="3686"/>
        <w:gridCol w:w="2694"/>
        <w:gridCol w:w="2868"/>
      </w:tblGrid>
      <w:tr>
        <w:trPr>
          <w:trHeight w:val="689"/>
        </w:trP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szCs w:val="22"/>
        </w:rPr>
        <w:t>Signature du marché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 xml:space="preserve">Les membres du groupement d’opérateurs économiques désignent le mandataire suivant </w:t>
      </w:r>
      <w:r>
        <w:rPr>
          <w:rFonts w:ascii="Arial" w:hAnsi="Arial" w:cs="Arial"/>
          <w:i/>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ont donné mandat au mandataire dans les conditions définies par les pouvoirs joints en annexe.</w:t>
      </w:r>
    </w:p>
    <w:p>
      <w:pPr>
        <w:keepLines w:val="0"/>
        <w:widowControl/>
        <w:tabs>
          <w:tab w:val="left" w:pos="851"/>
        </w:tabs>
        <w:suppressAutoHyphens/>
        <w:autoSpaceDE/>
        <w:autoSpaceDN/>
        <w:adjustRightInd/>
        <w:ind w:left="1695" w:hanging="844"/>
        <w:rPr>
          <w:rFonts w:ascii="Arial" w:hAnsi="Arial" w:cs="Arial"/>
          <w:i/>
          <w:szCs w:val="18"/>
          <w:lang w:eastAsia="zh-CN"/>
        </w:rPr>
      </w:pPr>
    </w:p>
    <w:p>
      <w:pPr>
        <w:keepLines w:val="0"/>
        <w:widowControl/>
        <w:tabs>
          <w:tab w:val="left" w:pos="426"/>
        </w:tabs>
        <w:suppressAutoHyphens/>
        <w:autoSpaceDE/>
        <w:autoSpaceDN/>
        <w:adjustRightInd/>
        <w:ind w:left="1695" w:hanging="1695"/>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Les membres du groupement, qui signent le présent acte d’engagement :</w:t>
      </w:r>
    </w:p>
    <w:p>
      <w:pPr>
        <w:keepLines w:val="0"/>
        <w:widowControl/>
        <w:tabs>
          <w:tab w:val="left" w:pos="851"/>
        </w:tabs>
        <w:suppressAutoHyphens/>
        <w:autoSpaceDE/>
        <w:autoSpaceDN/>
        <w:adjustRightInd/>
        <w:ind w:left="1695" w:hanging="844"/>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donnent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Univers" w:hAnsi="Univers" w:cs="Univers"/>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donnent mandat au mandataire, qui l’accepte, 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donnent mandat au mandataire dans les conditions définies ci-dessous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(donner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ind w:left="-142"/>
        <w:rPr>
          <w:b/>
          <w:bCs/>
          <w:i/>
          <w:iCs/>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de l’acheteur public</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Centre Hospitalier de Versailles</w:t>
            </w:r>
          </w:p>
          <w:p>
            <w:pPr>
              <w:widowControl/>
              <w:tabs>
                <w:tab w:val="left" w:pos="1418"/>
              </w:tabs>
              <w:spacing w:before="60" w:after="60"/>
              <w:ind w:left="34"/>
              <w:rPr>
                <w:rFonts w:ascii="Arial" w:hAnsi="Arial" w:cs="Arial"/>
                <w:b/>
                <w:szCs w:val="18"/>
              </w:rPr>
            </w:pP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3178"/>
      </w:tblGrid>
      <w:t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317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André-Mignot</w:t>
            </w:r>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 cedex</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c>
          <w:tcPr>
            <w:tcW w:w="2600" w:type="dxa"/>
            <w:tcBorders>
              <w:top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3178" w:type="dxa"/>
            <w:tcBorders>
              <w:top w:val="nil"/>
            </w:tcBorders>
            <w:shd w:val="clear" w:color="auto" w:fill="auto"/>
          </w:tcPr>
          <w:p>
            <w:pPr>
              <w:widowControl/>
              <w:tabs>
                <w:tab w:val="left" w:pos="1418"/>
              </w:tabs>
              <w:spacing w:before="60" w:after="60"/>
              <w:ind w:left="34"/>
              <w:rPr>
                <w:rFonts w:ascii="Arial" w:hAnsi="Arial" w:cs="Arial"/>
                <w:szCs w:val="18"/>
              </w:rPr>
            </w:pPr>
            <w:hyperlink r:id="rId16" w:history="1">
              <w:r>
                <w:rPr>
                  <w:rStyle w:val="Lienhypertexte"/>
                  <w:rFonts w:ascii="Arial" w:hAnsi="Arial" w:cs="Arial"/>
                  <w:szCs w:val="18"/>
                </w:rPr>
                <w:t>http://www.ch-versailles.fr</w:t>
              </w:r>
            </w:hyperlink>
          </w:p>
          <w:p>
            <w:pPr>
              <w:widowControl/>
              <w:tabs>
                <w:tab w:val="left" w:pos="1418"/>
              </w:tabs>
              <w:spacing w:before="60" w:after="60"/>
              <w:ind w:left="34"/>
              <w:rPr>
                <w:rFonts w:ascii="Arial" w:hAnsi="Arial" w:cs="Arial"/>
                <w:szCs w:val="18"/>
              </w:rPr>
            </w:pPr>
            <w:hyperlink r:id="rId17" w:history="1">
              <w:r>
                <w:rPr>
                  <w:rStyle w:val="Lienhypertexte"/>
                  <w:rFonts w:ascii="Arial" w:hAnsi="Arial" w:cs="Arial"/>
                  <w:szCs w:val="18"/>
                </w:rPr>
                <w:t>https://www.marches-publics.gouv.fr/</w:t>
              </w:r>
            </w:hyperlink>
          </w:p>
        </w:tc>
      </w:tr>
    </w:tbl>
    <w:p>
      <w:pPr>
        <w:widowControl/>
        <w:rPr>
          <w:rFonts w:ascii="Arial" w:hAnsi="Arial" w:cs="Arial"/>
          <w:sz w:val="4"/>
          <w:lang w:val="nl-NL"/>
        </w:rPr>
      </w:pPr>
      <w:r>
        <w:rPr>
          <w:rFonts w:ascii="Arial" w:hAnsi="Arial" w:cs="Arial"/>
          <w:sz w:val="4"/>
          <w:lang w:val="nl-NL"/>
        </w:rPr>
        <w:br w:type="textWrapping" w:clear="all"/>
      </w: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Signataire de l’accord cadre (prénom, nom et qualité)</w:t>
            </w:r>
          </w:p>
          <w:p>
            <w:pPr>
              <w:widowControl/>
              <w:spacing w:before="60" w:after="60"/>
              <w:jc w:val="right"/>
              <w:rPr>
                <w:rFonts w:ascii="Arial" w:hAnsi="Arial" w:cs="Arial"/>
                <w:b/>
                <w:bCs/>
                <w:szCs w:val="18"/>
              </w:rPr>
            </w:pPr>
            <w:r>
              <w:rPr>
                <w:rFonts w:ascii="Arial" w:hAnsi="Arial" w:cs="Arial"/>
                <w:b/>
                <w:bCs/>
                <w:szCs w:val="18"/>
              </w:rPr>
              <w:t xml:space="preserve">                                         </w:t>
            </w:r>
          </w:p>
        </w:tc>
        <w:tc>
          <w:tcPr>
            <w:tcW w:w="4660" w:type="dxa"/>
            <w:tcBorders>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 xml:space="preserve">Le Directeur Général, Monsieur Pascal BELLON </w:t>
            </w:r>
          </w:p>
          <w:p>
            <w:pPr>
              <w:widowControl/>
              <w:tabs>
                <w:tab w:val="left" w:pos="3060"/>
                <w:tab w:val="left" w:pos="3090"/>
              </w:tabs>
              <w:spacing w:before="60"/>
              <w:ind w:left="34"/>
              <w:rPr>
                <w:rFonts w:ascii="Arial" w:hAnsi="Arial" w:cs="Arial"/>
              </w:rPr>
            </w:pPr>
            <w:r>
              <w:rPr>
                <w:rFonts w:ascii="Arial" w:hAnsi="Arial" w:cs="Arial"/>
              </w:rPr>
              <w:tab/>
            </w:r>
            <w:r>
              <w:rPr>
                <w:rFonts w:ascii="Arial" w:hAnsi="Arial" w:cs="Arial"/>
              </w:rPr>
              <w:tab/>
            </w:r>
            <w:r>
              <w:rPr>
                <w:rFonts w:ascii="Arial" w:hAnsi="Arial" w:cs="Arial"/>
              </w:rPr>
              <w:tab/>
            </w:r>
          </w:p>
          <w:p>
            <w:pPr>
              <w:ind w:firstLine="708"/>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0" w:name="B_ART109"/>
            <w:r>
              <w:rPr>
                <w:rFonts w:ascii="Arial" w:hAnsi="Arial" w:cs="Arial"/>
                <w:b/>
                <w:bCs/>
                <w:szCs w:val="18"/>
              </w:rPr>
              <w:t>Personne habilitée                                                  à donner les renseignements                               prévus à l’article R2191-59 du Code la Commande Publique</w:t>
            </w: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Le Directeur Général, Monsieur Pascal BELLON</w:t>
            </w:r>
          </w:p>
          <w:p>
            <w:pPr>
              <w:widowControl/>
              <w:tabs>
                <w:tab w:val="left" w:pos="1418"/>
              </w:tabs>
              <w:spacing w:before="60"/>
              <w:ind w:left="34"/>
              <w:rPr>
                <w:rFonts w:ascii="Arial" w:hAnsi="Arial" w:cs="Arial"/>
              </w:rPr>
            </w:pPr>
            <w:r>
              <w:rPr>
                <w:rFonts w:ascii="Arial" w:hAnsi="Arial" w:cs="Arial"/>
              </w:rPr>
              <w:t xml:space="preserve"> </w:t>
            </w:r>
          </w:p>
          <w:p>
            <w:pPr>
              <w:widowControl/>
              <w:tabs>
                <w:tab w:val="left" w:pos="1418"/>
              </w:tabs>
              <w:spacing w:before="60"/>
              <w:ind w:left="34"/>
              <w:rPr>
                <w:rFonts w:ascii="Arial" w:hAnsi="Arial" w:cs="Arial"/>
              </w:rPr>
            </w:pPr>
          </w:p>
          <w:p>
            <w:pPr>
              <w:widowControl/>
              <w:tabs>
                <w:tab w:val="left" w:pos="1418"/>
              </w:tabs>
              <w:spacing w:before="60"/>
              <w:ind w:left="34"/>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1" w:name="B_COMPT"/>
            <w:bookmarkEnd w:id="20"/>
            <w:r>
              <w:rPr>
                <w:rFonts w:ascii="Arial" w:hAnsi="Arial" w:cs="Arial"/>
                <w:b/>
                <w:bCs/>
                <w:szCs w:val="18"/>
              </w:rPr>
              <w:t xml:space="preserve">Comptables assignataires                                   (désignation, adresse et numéro de téléphone) </w:t>
            </w: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Voir annexe comptables assignataires</w:t>
            </w:r>
          </w:p>
          <w:p>
            <w:pPr>
              <w:widowControl/>
              <w:tabs>
                <w:tab w:val="left" w:pos="1418"/>
              </w:tabs>
              <w:spacing w:before="60"/>
              <w:ind w:left="34"/>
              <w:rPr>
                <w:rFonts w:ascii="Arial" w:hAnsi="Arial" w:cs="Arial"/>
              </w:rPr>
            </w:pPr>
          </w:p>
        </w:tc>
      </w:tr>
      <w:bookmarkEnd w:id="21"/>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hemeColor="background1"/>
            </w:tcBorders>
          </w:tcPr>
          <w:p>
            <w:pPr>
              <w:widowControl/>
              <w:tabs>
                <w:tab w:val="left" w:pos="1418"/>
              </w:tabs>
              <w:spacing w:before="60"/>
              <w:ind w:left="34"/>
              <w:rPr>
                <w:rFonts w:ascii="Arial" w:hAnsi="Arial" w:cs="Arial"/>
              </w:rPr>
            </w:pPr>
            <w:r>
              <w:rPr>
                <w:rFonts w:ascii="Arial" w:hAnsi="Arial" w:cs="Arial"/>
              </w:rPr>
              <w:t>Budget Hospitalier</w:t>
            </w:r>
          </w:p>
        </w:tc>
      </w:tr>
    </w:tbl>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Le présent accord cadre </w:t>
      </w:r>
      <w:r>
        <w:rPr>
          <w:rFonts w:ascii="Arial" w:hAnsi="Arial" w:cs="Arial"/>
          <w:lang w:eastAsia="zh-CN"/>
        </w:rPr>
        <w:t>est conclu par l’établissement support désigné par la convention constitutive du Groupement Hospitalier de Territoire (GHT) en date du 30 juin 2016.</w:t>
      </w:r>
    </w:p>
    <w:p>
      <w:pPr>
        <w:widowControl/>
        <w:rPr>
          <w:rFonts w:ascii="Arial" w:hAnsi="Arial" w:cs="Arial"/>
          <w:color w:val="C00000"/>
          <w:szCs w:val="18"/>
        </w:rPr>
      </w:pPr>
    </w:p>
    <w:p>
      <w:pPr>
        <w:widowControl/>
        <w:rPr>
          <w:rFonts w:ascii="Arial" w:hAnsi="Arial" w:cs="Arial"/>
          <w:color w:val="C00000"/>
          <w:szCs w:val="18"/>
        </w:rPr>
      </w:pPr>
    </w:p>
    <w:p>
      <w:pPr>
        <w:widowControl/>
        <w:tabs>
          <w:tab w:val="left" w:pos="426"/>
        </w:tabs>
        <w:rPr>
          <w:rFonts w:ascii="Arial" w:hAnsi="Arial" w:cs="Arial"/>
          <w:bCs/>
          <w:sz w:val="16"/>
          <w:szCs w:val="18"/>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L’établissement support </w:t>
      </w:r>
      <w:r>
        <w:rPr>
          <w:rFonts w:ascii="Arial" w:hAnsi="Arial" w:cs="Arial"/>
          <w:lang w:eastAsia="zh-CN"/>
        </w:rPr>
        <w:t xml:space="preserve">agit :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son propre compte uniquement </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son propre compte et le compte des établissements désignés à l’annexe de l’acte </w:t>
      </w:r>
      <w:r>
        <w:rPr>
          <w:rFonts w:ascii="Arial" w:hAnsi="Arial" w:cs="Arial"/>
          <w:sz w:val="18"/>
          <w:szCs w:val="18"/>
        </w:rPr>
        <w:tab/>
        <w:t>d’engagement dans le cadre du GHT</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l’(les) établissement(s) désigné(s) à l’annexe de l’acte d’engagement dans le cadre du </w:t>
      </w:r>
      <w:r>
        <w:rPr>
          <w:rFonts w:ascii="Arial" w:hAnsi="Arial" w:cs="Arial"/>
          <w:sz w:val="18"/>
          <w:szCs w:val="18"/>
        </w:rPr>
        <w:tab/>
        <w:t xml:space="preserve">GHT </w:t>
      </w: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ind w:firstLine="709"/>
        <w:rPr>
          <w:rFonts w:ascii="Arial" w:hAnsi="Arial" w:cs="Arial"/>
          <w:sz w:val="18"/>
          <w:szCs w:val="18"/>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E-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2" w:name="LOTUNNIQUEG"/>
      <w:r>
        <w:rPr>
          <w:b/>
          <w:bCs/>
        </w:rPr>
        <w:t>La présente offre est acceptée :</w:t>
      </w:r>
    </w:p>
    <w:bookmarkEnd w:id="22"/>
    <w:p>
      <w:pPr>
        <w:pStyle w:val="RedTxt"/>
        <w:rPr>
          <w:b/>
          <w:bCs/>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sa solution de base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Avec sa variante n° …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son(ses) option(s)</w:t>
      </w:r>
    </w:p>
    <w:p>
      <w:pPr>
        <w:pStyle w:val="RedTxt"/>
        <w:tabs>
          <w:tab w:val="left" w:pos="1276"/>
        </w:tabs>
        <w:ind w:firstLine="709"/>
        <w:rPr>
          <w:sz w:val="20"/>
          <w:szCs w:val="20"/>
        </w:rPr>
      </w:pPr>
    </w:p>
    <w:p>
      <w:pPr>
        <w:pStyle w:val="RedTxt"/>
        <w:tabs>
          <w:tab w:val="left" w:pos="1276"/>
        </w:tabs>
        <w:ind w:firstLine="709"/>
        <w:rPr>
          <w:sz w:val="20"/>
          <w:szCs w:val="20"/>
        </w:rPr>
      </w:pPr>
    </w:p>
    <w:p>
      <w:pPr>
        <w:pStyle w:val="RedTxt"/>
      </w:pPr>
    </w:p>
    <w:p>
      <w:pPr>
        <w:pStyle w:val="RedTxt"/>
      </w:pPr>
    </w:p>
    <w:p>
      <w:pPr>
        <w:pStyle w:val="RedTxt"/>
      </w:pPr>
    </w:p>
    <w:p>
      <w:pPr>
        <w:pStyle w:val="RedTxt"/>
      </w:pPr>
    </w:p>
    <w:p>
      <w:pPr>
        <w:pStyle w:val="RedTxt"/>
      </w:pPr>
      <w:r>
        <w:t>Elle est complétée par les annexes suivantes :</w:t>
      </w:r>
    </w:p>
    <w:p>
      <w:pPr>
        <w:pStyle w:val="RedTxt"/>
        <w:rPr>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Annexe relative à la désignation des établissements concernés par l’exécution                           </w:t>
      </w:r>
      <w:r>
        <w:tab/>
        <w:t>du contrat</w:t>
      </w:r>
    </w:p>
    <w:p>
      <w:pPr>
        <w:pStyle w:val="RedTxt"/>
        <w:tabs>
          <w:tab w:val="left" w:pos="1276"/>
        </w:tabs>
      </w:pPr>
    </w:p>
    <w:p>
      <w:pPr>
        <w:pStyle w:val="RedTxt"/>
        <w:tabs>
          <w:tab w:val="left" w:pos="1276"/>
        </w:tabs>
        <w:ind w:firstLine="709"/>
      </w:pPr>
      <w:r>
        <w:fldChar w:fldCharType="begin">
          <w:ffData>
            <w:name w:val="CaseACocher111"/>
            <w:enabled/>
            <w:calcOnExit w:val="0"/>
            <w:checkBox>
              <w:sizeAuto/>
              <w:default w:val="1"/>
            </w:checkBox>
          </w:ffData>
        </w:fldChar>
      </w:r>
      <w:bookmarkStart w:id="23" w:name="CaseACocher111"/>
      <w:r>
        <w:instrText xml:space="preserve"> FORMCHECKBOX </w:instrText>
      </w:r>
      <w:r>
        <w:fldChar w:fldCharType="separate"/>
      </w:r>
      <w:r>
        <w:fldChar w:fldCharType="end"/>
      </w:r>
      <w:bookmarkEnd w:id="23"/>
      <w:r>
        <w:t xml:space="preserve"> </w:t>
      </w:r>
      <w:r>
        <w:tab/>
        <w:t xml:space="preserve">Annexes financières </w:t>
      </w:r>
      <w:r>
        <w:rPr>
          <w:i/>
        </w:rPr>
        <w:t>(à préciser)</w:t>
      </w:r>
      <w:r>
        <w:t> : BPU</w:t>
      </w:r>
    </w:p>
    <w:p>
      <w:pPr>
        <w:pStyle w:val="RedTxt"/>
        <w:tabs>
          <w:tab w:val="left" w:pos="1276"/>
        </w:tabs>
        <w:ind w:firstLine="709"/>
      </w:pP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RIB</w:t>
      </w:r>
    </w:p>
    <w:p>
      <w:pPr>
        <w:pStyle w:val="RedTxt"/>
        <w:shd w:val="clear" w:color="auto" w:fill="FFFFFF"/>
        <w:tabs>
          <w:tab w:val="left" w:pos="1276"/>
        </w:tabs>
        <w:ind w:firstLine="709"/>
      </w:pPr>
    </w:p>
    <w:p>
      <w:pPr>
        <w:pStyle w:val="RedTxt"/>
        <w:shd w:val="clear" w:color="auto" w:fill="FFFFFF"/>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firstLine="709"/>
      </w:pPr>
    </w:p>
    <w:p>
      <w:pPr>
        <w:pStyle w:val="RedTxt"/>
        <w:shd w:val="clear" w:color="auto" w:fill="FFFFFF"/>
        <w:tabs>
          <w:tab w:val="left" w:pos="1276"/>
        </w:tabs>
        <w:ind w:left="1429"/>
      </w:pPr>
    </w:p>
    <w:p>
      <w:pPr>
        <w:pStyle w:val="RedTxt"/>
        <w:rPr>
          <w:sz w:val="2"/>
          <w:szCs w:val="2"/>
        </w:rPr>
      </w:pPr>
    </w:p>
    <w:bookmarkEnd w:id="12"/>
    <w:p>
      <w:pPr>
        <w:pStyle w:val="RedTxt"/>
        <w:rPr>
          <w:sz w:val="20"/>
        </w:rPr>
      </w:pPr>
    </w:p>
    <w:p>
      <w:pPr>
        <w:pStyle w:val="RedTxt"/>
        <w:rPr>
          <w:sz w:val="20"/>
        </w:rPr>
      </w:pPr>
    </w:p>
    <w:p>
      <w:pPr>
        <w:pStyle w:val="RedTxt"/>
        <w:ind w:firstLine="4536"/>
      </w:pPr>
      <w:r>
        <w:t xml:space="preserve">Le Chesnay, le </w:t>
      </w:r>
    </w:p>
    <w:p>
      <w:pPr>
        <w:pStyle w:val="RedTxt"/>
        <w:rPr>
          <w:sz w:val="20"/>
          <w:szCs w:val="20"/>
        </w:rPr>
      </w:pPr>
    </w:p>
    <w:p>
      <w:pPr>
        <w:pStyle w:val="RedTxt"/>
        <w:ind w:firstLine="4536"/>
      </w:pPr>
      <w:r>
        <w:t>Pascal BELLON</w:t>
      </w:r>
    </w:p>
    <w:p>
      <w:pPr>
        <w:pStyle w:val="RedTxt"/>
        <w:ind w:firstLine="4536"/>
      </w:pPr>
    </w:p>
    <w:p>
      <w:pPr>
        <w:pStyle w:val="RedTxt"/>
        <w:ind w:firstLine="4536"/>
      </w:pPr>
      <w:r>
        <w:t>L’Acheteur Public,</w:t>
      </w:r>
    </w:p>
    <w:p>
      <w:pPr>
        <w:pStyle w:val="RedTxt"/>
        <w:ind w:firstLine="4536"/>
      </w:pPr>
      <w:r>
        <w:t xml:space="preserve">Le Directeur général, </w:t>
      </w:r>
    </w:p>
    <w:p>
      <w:pPr>
        <w:pStyle w:val="RedTxt"/>
        <w:ind w:firstLine="4536"/>
      </w:pPr>
      <w:r>
        <w:t xml:space="preserve">du Centre Hospitalier de Versailles, </w:t>
      </w:r>
    </w:p>
    <w:p>
      <w:pPr>
        <w:pStyle w:val="RedTxt"/>
        <w:ind w:firstLine="4536"/>
      </w:pPr>
      <w:r>
        <w:t xml:space="preserve">Etablissement support du GHT Yvelines Sud </w:t>
      </w:r>
    </w:p>
    <w:p>
      <w:pPr>
        <w:pStyle w:val="RedTxt"/>
        <w:ind w:firstLine="4536"/>
      </w:pPr>
    </w:p>
    <w:p>
      <w:pPr>
        <w:pStyle w:val="RedTxt"/>
        <w:ind w:firstLine="4536"/>
      </w:pPr>
    </w:p>
    <w:p>
      <w:pPr>
        <w:pStyle w:val="RedTxt"/>
        <w:ind w:firstLine="4536"/>
      </w:pPr>
    </w:p>
    <w:p>
      <w:pPr>
        <w:widowControl/>
        <w:spacing w:before="60"/>
        <w:rPr>
          <w:rFonts w:ascii="Arial" w:hAnsi="Arial" w:cs="Arial"/>
          <w:szCs w:val="18"/>
        </w:rPr>
      </w:pPr>
    </w:p>
    <w:p>
      <w:pPr>
        <w:widowControl/>
        <w:spacing w:before="60"/>
        <w:rPr>
          <w:rFonts w:ascii="Arial" w:hAnsi="Arial" w:cs="Arial"/>
          <w:szCs w:val="18"/>
        </w:rPr>
      </w:pPr>
    </w:p>
    <w:p>
      <w:pPr>
        <w:widowControl/>
        <w:spacing w:before="60"/>
        <w:rPr>
          <w:rFonts w:ascii="Arial" w:hAnsi="Arial" w:cs="Arial"/>
          <w:szCs w:val="18"/>
        </w:rPr>
      </w:pPr>
      <w:r>
        <w:rPr>
          <w:rFonts w:ascii="Arial" w:hAnsi="Arial" w:cs="Arial"/>
          <w:szCs w:val="18"/>
        </w:rPr>
        <w:t xml:space="preserve">                                                                                 </w:t>
      </w:r>
    </w:p>
    <w:p>
      <w:pPr>
        <w:pStyle w:val="RedTxt"/>
        <w:rPr>
          <w:sz w:val="20"/>
          <w:szCs w:val="20"/>
        </w:rPr>
      </w:pPr>
    </w:p>
    <w:p>
      <w:pPr>
        <w:pStyle w:val="RedTxt"/>
        <w:ind w:firstLine="4536"/>
        <w:rPr>
          <w:sz w:val="20"/>
          <w:szCs w:val="20"/>
        </w:rPr>
      </w:pPr>
    </w:p>
    <w:p>
      <w:pPr>
        <w:pStyle w:val="RedTxt"/>
        <w:rPr>
          <w:sz w:val="20"/>
          <w:szCs w:val="20"/>
        </w:rPr>
      </w:pPr>
    </w:p>
    <w:p>
      <w:pPr>
        <w:pStyle w:val="RedTxt"/>
        <w:rPr>
          <w:sz w:val="20"/>
          <w:szCs w:val="20"/>
        </w:rPr>
      </w:pPr>
    </w:p>
    <w:p>
      <w:pPr>
        <w:pStyle w:val="RedTxt"/>
        <w:ind w:firstLine="4536"/>
        <w:rPr>
          <w:sz w:val="20"/>
          <w:szCs w:val="20"/>
        </w:rPr>
      </w:pPr>
    </w:p>
    <w:p>
      <w:pPr>
        <w:pStyle w:val="RedTxt"/>
        <w:ind w:firstLine="4536"/>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F-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électronique reçu via le profil acheteur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remis en mains propres.</w:t>
      </w:r>
    </w:p>
    <w:p>
      <w:pPr>
        <w:pStyle w:val="RedTxt"/>
        <w:tabs>
          <w:tab w:val="left" w:pos="1276"/>
        </w:tabs>
        <w:ind w:firstLine="709"/>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G-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rPr>
          <w:sz w:val="20"/>
        </w:rPr>
      </w:pPr>
    </w:p>
    <w:p>
      <w:pPr>
        <w:pStyle w:val="RedTxt"/>
        <w:rPr>
          <w:sz w:val="20"/>
        </w:rPr>
      </w:pPr>
    </w:p>
    <w:p>
      <w:pPr>
        <w:pStyle w:val="RedTxt"/>
        <w:rPr>
          <w:sz w:val="20"/>
        </w:rPr>
      </w:pPr>
    </w:p>
    <w:p>
      <w:pPr>
        <w:pStyle w:val="RedTxt"/>
        <w:rPr>
          <w:sz w:val="20"/>
        </w:rPr>
      </w:pPr>
    </w:p>
    <w:p>
      <w:pPr>
        <w:pStyle w:val="RedTxt"/>
        <w:ind w:firstLine="4536"/>
      </w:pPr>
      <w:r>
        <w:t xml:space="preserve">Le Chesnay, le </w:t>
      </w:r>
    </w:p>
    <w:p>
      <w:pPr>
        <w:pStyle w:val="RedTxt"/>
        <w:ind w:firstLine="4536"/>
      </w:pPr>
    </w:p>
    <w:p>
      <w:pPr>
        <w:pStyle w:val="RedTxt"/>
        <w:ind w:firstLine="4536"/>
      </w:pPr>
    </w:p>
    <w:p>
      <w:pPr>
        <w:pStyle w:val="RedTxt"/>
      </w:pPr>
    </w:p>
    <w:p>
      <w:pPr>
        <w:ind w:firstLine="4536"/>
        <w:rPr>
          <w:rFonts w:ascii="Arial" w:hAnsi="Arial" w:cs="Arial"/>
          <w:szCs w:val="18"/>
        </w:rPr>
      </w:pPr>
      <w:r>
        <w:rPr>
          <w:rFonts w:ascii="Arial" w:hAnsi="Arial" w:cs="Arial"/>
          <w:szCs w:val="18"/>
        </w:rPr>
        <w:t>Pascal BELLON</w:t>
      </w:r>
    </w:p>
    <w:p>
      <w:pPr>
        <w:ind w:firstLine="4536"/>
        <w:rPr>
          <w:rFonts w:ascii="Arial" w:hAnsi="Arial" w:cs="Arial"/>
          <w:szCs w:val="18"/>
        </w:rPr>
      </w:pPr>
    </w:p>
    <w:p>
      <w:pPr>
        <w:ind w:left="3827" w:firstLine="709"/>
        <w:rPr>
          <w:rFonts w:ascii="Arial" w:hAnsi="Arial" w:cs="Arial"/>
          <w:sz w:val="18"/>
          <w:szCs w:val="18"/>
        </w:rPr>
      </w:pPr>
      <w:r>
        <w:rPr>
          <w:rFonts w:ascii="Arial" w:hAnsi="Arial" w:cs="Arial"/>
          <w:sz w:val="18"/>
          <w:szCs w:val="18"/>
        </w:rPr>
        <w:t>L’Acheteur Public,</w:t>
      </w:r>
    </w:p>
    <w:p>
      <w:pPr>
        <w:ind w:firstLine="4536"/>
        <w:rPr>
          <w:rFonts w:ascii="Arial" w:hAnsi="Arial" w:cs="Arial"/>
          <w:sz w:val="18"/>
          <w:szCs w:val="18"/>
        </w:rPr>
      </w:pPr>
      <w:r>
        <w:rPr>
          <w:rFonts w:ascii="Arial" w:hAnsi="Arial" w:cs="Arial"/>
          <w:sz w:val="18"/>
          <w:szCs w:val="18"/>
        </w:rPr>
        <w:t xml:space="preserve">Le Directeur général, </w:t>
      </w:r>
    </w:p>
    <w:p>
      <w:pPr>
        <w:ind w:firstLine="4536"/>
        <w:rPr>
          <w:rFonts w:ascii="Arial" w:hAnsi="Arial" w:cs="Arial"/>
          <w:sz w:val="18"/>
          <w:szCs w:val="18"/>
        </w:rPr>
      </w:pPr>
      <w:r>
        <w:rPr>
          <w:rFonts w:ascii="Arial" w:hAnsi="Arial" w:cs="Arial"/>
          <w:sz w:val="18"/>
          <w:szCs w:val="18"/>
        </w:rPr>
        <w:t xml:space="preserve">du Centre Hospitalier de Versailles, </w:t>
      </w:r>
    </w:p>
    <w:p>
      <w:pPr>
        <w:ind w:firstLine="4536"/>
        <w:rPr>
          <w:rFonts w:ascii="Arial" w:hAnsi="Arial" w:cs="Arial"/>
          <w:sz w:val="18"/>
          <w:szCs w:val="18"/>
        </w:rPr>
      </w:pPr>
      <w:r>
        <w:rPr>
          <w:rFonts w:ascii="Arial" w:hAnsi="Arial" w:cs="Arial"/>
          <w:sz w:val="18"/>
          <w:szCs w:val="18"/>
        </w:rPr>
        <w:t xml:space="preserve">Etablissement support du GHT Yvelines Sud </w:t>
      </w:r>
    </w:p>
    <w:p>
      <w:pPr>
        <w:pStyle w:val="RedTxt"/>
        <w:ind w:firstLine="4536"/>
      </w:pPr>
    </w:p>
    <w:p>
      <w:pPr>
        <w:pStyle w:val="RedTxt"/>
        <w:ind w:firstLine="4536"/>
      </w:pPr>
    </w:p>
    <w:p>
      <w:pPr>
        <w:pStyle w:val="RedTxt"/>
        <w:ind w:firstLine="4536"/>
      </w:pPr>
    </w:p>
    <w:p>
      <w:pPr>
        <w:pStyle w:val="RedTxt"/>
        <w:ind w:firstLine="4536"/>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
    <w:p/>
    <w:p/>
    <w:sectPr>
      <w:headerReference w:type="default" r:id="rId18"/>
      <w:footerReference w:type="default" r:id="rId19"/>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Affaire n°2025SB11</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 2025SB11</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n°2025SB11</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10</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AC</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3D7E9C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B277C22"/>
    <w:multiLevelType w:val="hybridMultilevel"/>
    <w:tmpl w:val="B71E89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877F3B"/>
    <w:multiLevelType w:val="hybridMultilevel"/>
    <w:tmpl w:val="B4E2C0B4"/>
    <w:lvl w:ilvl="0" w:tplc="A21CAAF2">
      <w:numFmt w:val="bullet"/>
      <w:lvlText w:val="-"/>
      <w:lvlJc w:val="left"/>
      <w:pPr>
        <w:ind w:left="720" w:hanging="360"/>
      </w:pPr>
      <w:rPr>
        <w:rFonts w:ascii="Arial" w:eastAsia="Times New Roman"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170349D"/>
    <w:multiLevelType w:val="hybridMultilevel"/>
    <w:tmpl w:val="351271EA"/>
    <w:lvl w:ilvl="0" w:tplc="CDDACB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5"/>
  </w:num>
  <w:num w:numId="2">
    <w:abstractNumId w:val="17"/>
  </w:num>
  <w:num w:numId="3">
    <w:abstractNumId w:val="6"/>
  </w:num>
  <w:num w:numId="4">
    <w:abstractNumId w:val="10"/>
  </w:num>
  <w:num w:numId="5">
    <w:abstractNumId w:val="18"/>
  </w:num>
  <w:num w:numId="6">
    <w:abstractNumId w:val="21"/>
  </w:num>
  <w:num w:numId="7">
    <w:abstractNumId w:val="0"/>
  </w:num>
  <w:num w:numId="8">
    <w:abstractNumId w:val="1"/>
  </w:num>
  <w:num w:numId="9">
    <w:abstractNumId w:val="20"/>
  </w:num>
  <w:num w:numId="10">
    <w:abstractNumId w:val="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8"/>
  </w:num>
  <w:num w:numId="15">
    <w:abstractNumId w:val="2"/>
  </w:num>
  <w:num w:numId="16">
    <w:abstractNumId w:val="3"/>
  </w:num>
  <w:num w:numId="17">
    <w:abstractNumId w:val="13"/>
  </w:num>
  <w:num w:numId="18">
    <w:abstractNumId w:val="11"/>
  </w:num>
  <w:num w:numId="19">
    <w:abstractNumId w:val="9"/>
  </w:num>
  <w:num w:numId="20">
    <w:abstractNumId w:val="16"/>
  </w:num>
  <w:num w:numId="21">
    <w:abstractNumId w:val="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CD9138A-1595-4CB7-AC1F-0BA6CD4B1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pPr>
      <w:keepNext/>
      <w:widowControl/>
      <w:numPr>
        <w:numId w:val="11"/>
      </w:numPr>
      <w:tabs>
        <w:tab w:val="left" w:pos="3686"/>
      </w:tabs>
      <w:ind w:left="0" w:firstLine="0"/>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numPr>
        <w:ilvl w:val="1"/>
        <w:numId w:val="11"/>
      </w:numPr>
      <w:shd w:val="clear" w:color="auto" w:fill="E6E6E6"/>
      <w:ind w:left="0" w:firstLine="0"/>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numPr>
        <w:ilvl w:val="2"/>
        <w:numId w:val="11"/>
      </w:numPr>
      <w:adjustRightInd/>
      <w:ind w:left="0" w:firstLine="0"/>
      <w:outlineLvl w:val="2"/>
    </w:pPr>
    <w:rPr>
      <w:rFonts w:ascii="Arial" w:hAnsi="Arial" w:cs="Arial"/>
      <w:b/>
      <w:bCs/>
      <w:caps/>
      <w:sz w:val="16"/>
      <w:szCs w:val="16"/>
    </w:rPr>
  </w:style>
  <w:style w:type="paragraph" w:styleId="Titre4">
    <w:name w:val="heading 4"/>
    <w:basedOn w:val="Normal"/>
    <w:next w:val="Normal"/>
    <w:link w:val="Titre4Car"/>
    <w:qFormat/>
    <w:pPr>
      <w:keepNext/>
      <w:keepLines w:val="0"/>
      <w:widowControl/>
      <w:numPr>
        <w:ilvl w:val="3"/>
        <w:numId w:val="11"/>
      </w:numPr>
      <w:autoSpaceDE/>
      <w:autoSpaceDN/>
      <w:adjustRightInd/>
      <w:outlineLvl w:val="3"/>
    </w:pPr>
    <w:rPr>
      <w:rFonts w:ascii="Arial Narrow" w:hAnsi="Arial Narrow"/>
      <w:b/>
      <w:sz w:val="24"/>
    </w:rPr>
  </w:style>
  <w:style w:type="paragraph" w:styleId="Titre5">
    <w:name w:val="heading 5"/>
    <w:basedOn w:val="Normal"/>
    <w:next w:val="Normal"/>
    <w:link w:val="Titre5Car"/>
    <w:unhideWhenUsed/>
    <w:qFormat/>
    <w:pPr>
      <w:numPr>
        <w:ilvl w:val="4"/>
        <w:numId w:val="11"/>
      </w:numPr>
      <w:spacing w:before="240" w:after="60"/>
      <w:ind w:left="0" w:firstLine="0"/>
      <w:outlineLvl w:val="4"/>
    </w:pPr>
    <w:rPr>
      <w:rFonts w:ascii="Calibri" w:hAnsi="Calibri"/>
      <w:b/>
      <w:bCs/>
      <w:i/>
      <w:iCs/>
      <w:sz w:val="26"/>
      <w:szCs w:val="26"/>
    </w:rPr>
  </w:style>
  <w:style w:type="paragraph" w:styleId="Titre6">
    <w:name w:val="heading 6"/>
    <w:basedOn w:val="Normal"/>
    <w:next w:val="Normal"/>
    <w:link w:val="Titre6Car"/>
    <w:semiHidden/>
    <w:unhideWhenUsed/>
    <w:qFormat/>
    <w:pPr>
      <w:keepLines w:val="0"/>
      <w:widowControl/>
      <w:numPr>
        <w:ilvl w:val="5"/>
        <w:numId w:val="11"/>
      </w:numPr>
      <w:autoSpaceDE/>
      <w:autoSpaceDN/>
      <w:adjustRightInd/>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pPr>
      <w:keepLines w:val="0"/>
      <w:widowControl/>
      <w:numPr>
        <w:ilvl w:val="6"/>
        <w:numId w:val="11"/>
      </w:numPr>
      <w:autoSpaceDE/>
      <w:autoSpaceDN/>
      <w:adjustRightInd/>
      <w:spacing w:before="240" w:after="60"/>
      <w:outlineLvl w:val="6"/>
    </w:pPr>
    <w:rPr>
      <w:rFonts w:ascii="Calibri" w:hAnsi="Calibri"/>
      <w:sz w:val="24"/>
      <w:szCs w:val="24"/>
    </w:rPr>
  </w:style>
  <w:style w:type="paragraph" w:styleId="Titre8">
    <w:name w:val="heading 8"/>
    <w:basedOn w:val="Normal"/>
    <w:next w:val="Normal"/>
    <w:link w:val="Titre8Car"/>
    <w:qFormat/>
    <w:pPr>
      <w:keepNext/>
      <w:keepLines w:val="0"/>
      <w:widowControl/>
      <w:numPr>
        <w:ilvl w:val="7"/>
        <w:numId w:val="11"/>
      </w:numPr>
      <w:autoSpaceDE/>
      <w:autoSpaceDN/>
      <w:adjustRightInd/>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pPr>
      <w:keepLines w:val="0"/>
      <w:widowControl/>
      <w:numPr>
        <w:ilvl w:val="8"/>
        <w:numId w:val="11"/>
      </w:numPr>
      <w:autoSpaceDE/>
      <w:autoSpaceDN/>
      <w:adjustRightInd/>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www.ch-versailles.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a-versailles.juradm.fr"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reffe.ta-versailles@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86B9D-0622-4D49-B62B-39FC28D2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10</Pages>
  <Words>3419</Words>
  <Characters>18807</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Fatim</dc:creator>
  <cp:keywords/>
  <dc:description/>
  <cp:lastModifiedBy>BERA Stephanie-Rosy</cp:lastModifiedBy>
  <cp:revision>37</cp:revision>
  <dcterms:created xsi:type="dcterms:W3CDTF">2023-06-13T09:10:00Z</dcterms:created>
  <dcterms:modified xsi:type="dcterms:W3CDTF">2025-07-18T15:08:00Z</dcterms:modified>
</cp:coreProperties>
</file>